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62D9B" w14:textId="77777777" w:rsidR="00766F81" w:rsidRDefault="00766F81" w:rsidP="00766F81">
      <w:pPr>
        <w:jc w:val="center"/>
        <w:rPr>
          <w:b/>
          <w:bCs/>
          <w:sz w:val="56"/>
          <w:szCs w:val="56"/>
          <w:lang w:val="es-ES"/>
        </w:rPr>
      </w:pPr>
    </w:p>
    <w:p w14:paraId="40ECFCF6" w14:textId="3D40DB2C" w:rsidR="00172D47" w:rsidRDefault="00766F81" w:rsidP="00766F81">
      <w:pPr>
        <w:jc w:val="center"/>
        <w:rPr>
          <w:b/>
          <w:bCs/>
          <w:sz w:val="56"/>
          <w:szCs w:val="56"/>
          <w:lang w:val="es-ES"/>
        </w:rPr>
      </w:pPr>
      <w:proofErr w:type="spellStart"/>
      <w:r w:rsidRPr="00766F81">
        <w:rPr>
          <w:b/>
          <w:bCs/>
          <w:sz w:val="56"/>
          <w:szCs w:val="56"/>
          <w:lang w:val="es-ES"/>
        </w:rPr>
        <w:t>ToolBox</w:t>
      </w:r>
      <w:proofErr w:type="spellEnd"/>
    </w:p>
    <w:p w14:paraId="428C2F32" w14:textId="7F0E90A7" w:rsidR="00533B45" w:rsidRDefault="00533B45" w:rsidP="00533B45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</w:p>
    <w:p w14:paraId="001FAE1F" w14:textId="1FB7213A" w:rsidR="007E5757" w:rsidRDefault="007E5757" w:rsidP="007E5757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</w:p>
    <w:p w14:paraId="5032895E" w14:textId="77777777" w:rsidR="00E70198" w:rsidRDefault="00E70198" w:rsidP="00E70198">
      <w:pPr>
        <w:pStyle w:val="paragraph"/>
        <w:numPr>
          <w:ilvl w:val="0"/>
          <w:numId w:val="15"/>
        </w:numPr>
        <w:spacing w:before="0" w:beforeAutospacing="0" w:after="0" w:afterAutospacing="0"/>
        <w:ind w:left="567" w:hanging="567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lang w:val="es-ES"/>
        </w:rPr>
        <w:t xml:space="preserve">El papel del docente para el logro de un aprendizaje significativo apoyado en las TIC: </w:t>
      </w:r>
      <w:hyperlink r:id="rId7" w:anchor=":~:text=El%20rol%20del%20docente%20no,%2C%201998%3B%20Novak%2C%202002%3BB" w:tgtFrame="_blank" w:history="1">
        <w:r>
          <w:rPr>
            <w:rStyle w:val="normaltextrun"/>
            <w:rFonts w:ascii="Calibri" w:hAnsi="Calibri" w:cs="Calibri"/>
            <w:color w:val="0563C1"/>
            <w:u w:val="single"/>
            <w:lang w:val="es-ES"/>
          </w:rPr>
          <w:t>https://www.redalyc.org/journal/4766/476661510011/html/#:~:text=El%20rol%20del%20docente%20no,%2C%201998%3B%20Novak%2C%202002%3BB</w:t>
        </w:r>
      </w:hyperlink>
      <w:r>
        <w:rPr>
          <w:rStyle w:val="eop"/>
          <w:rFonts w:ascii="Calibri" w:hAnsi="Calibri" w:cs="Calibri"/>
        </w:rPr>
        <w:t> </w:t>
      </w:r>
    </w:p>
    <w:p w14:paraId="3DCCBEE1" w14:textId="54B12802" w:rsidR="00E70198" w:rsidRDefault="00E70198" w:rsidP="00E70198">
      <w:pPr>
        <w:pStyle w:val="paragraph"/>
        <w:numPr>
          <w:ilvl w:val="0"/>
          <w:numId w:val="15"/>
        </w:numPr>
        <w:spacing w:before="0" w:beforeAutospacing="0" w:after="0" w:afterAutospacing="0"/>
        <w:ind w:left="567" w:hanging="567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lang w:val="es-ES"/>
        </w:rPr>
        <w:t xml:space="preserve">Diseño de taxonomías educativas: </w:t>
      </w:r>
      <w:hyperlink r:id="rId8" w:tgtFrame="_blank" w:history="1">
        <w:r>
          <w:rPr>
            <w:rStyle w:val="normaltextrun"/>
            <w:rFonts w:ascii="Calibri" w:hAnsi="Calibri" w:cs="Calibri"/>
            <w:color w:val="0563C1"/>
            <w:u w:val="single"/>
            <w:lang w:val="es-ES"/>
          </w:rPr>
          <w:t>http://www.crec.mx/ispring/2016/07/19/cuatro-taxonomias-educativas-crear-e-learning/</w:t>
        </w:r>
      </w:hyperlink>
      <w:r>
        <w:rPr>
          <w:rStyle w:val="eop"/>
          <w:rFonts w:ascii="Calibri" w:hAnsi="Calibri" w:cs="Calibri"/>
        </w:rPr>
        <w:t> </w:t>
      </w:r>
    </w:p>
    <w:p w14:paraId="72C38E82" w14:textId="77777777" w:rsidR="00E70198" w:rsidRDefault="00E70198" w:rsidP="00E70198">
      <w:pPr>
        <w:pStyle w:val="paragraph"/>
        <w:numPr>
          <w:ilvl w:val="0"/>
          <w:numId w:val="15"/>
        </w:numPr>
        <w:spacing w:before="0" w:beforeAutospacing="0" w:after="0" w:afterAutospacing="0"/>
        <w:ind w:left="567" w:hanging="567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color w:val="000000"/>
          <w:lang w:val="es-ES"/>
        </w:rPr>
        <w:t xml:space="preserve">Autoevaluación personal: ¿te animas a hacerla? </w:t>
      </w:r>
      <w:hyperlink r:id="rId9" w:tgtFrame="_blank" w:history="1">
        <w:r>
          <w:rPr>
            <w:rStyle w:val="normaltextrun"/>
            <w:rFonts w:ascii="Calibri" w:hAnsi="Calibri" w:cs="Calibri"/>
            <w:color w:val="0563C1"/>
            <w:u w:val="single"/>
            <w:lang w:val="es-ES"/>
          </w:rPr>
          <w:t>https://retos-directivos.eae.es/te-animas-a-hacer-una-autoevaluacion-personal/</w:t>
        </w:r>
      </w:hyperlink>
      <w:r>
        <w:rPr>
          <w:rStyle w:val="normaltextrun"/>
          <w:rFonts w:ascii="Calibri" w:hAnsi="Calibri" w:cs="Calibri"/>
          <w:color w:val="000000"/>
          <w:lang w:val="es-ES"/>
        </w:rPr>
        <w:t> </w:t>
      </w:r>
      <w:r>
        <w:rPr>
          <w:rStyle w:val="eop"/>
          <w:rFonts w:ascii="Calibri" w:hAnsi="Calibri" w:cs="Calibri"/>
          <w:color w:val="000000"/>
        </w:rPr>
        <w:t> </w:t>
      </w:r>
    </w:p>
    <w:p w14:paraId="533F0A16" w14:textId="77777777" w:rsidR="00E70198" w:rsidRDefault="00E70198" w:rsidP="00E70198">
      <w:pPr>
        <w:pStyle w:val="paragraph"/>
        <w:numPr>
          <w:ilvl w:val="0"/>
          <w:numId w:val="15"/>
        </w:numPr>
        <w:spacing w:before="0" w:beforeAutospacing="0" w:after="0" w:afterAutospacing="0"/>
        <w:ind w:left="567" w:hanging="567"/>
        <w:textAlignment w:val="baseline"/>
        <w:rPr>
          <w:rFonts w:ascii="Calibri" w:hAnsi="Calibri" w:cs="Calibri"/>
        </w:rPr>
      </w:pPr>
      <w:proofErr w:type="spellStart"/>
      <w:r>
        <w:rPr>
          <w:rStyle w:val="normaltextrun"/>
          <w:rFonts w:ascii="Calibri" w:hAnsi="Calibri" w:cs="Calibri"/>
          <w:color w:val="000000"/>
          <w:lang w:val="es-ES"/>
        </w:rPr>
        <w:t>Student</w:t>
      </w:r>
      <w:proofErr w:type="spellEnd"/>
      <w:r>
        <w:rPr>
          <w:rStyle w:val="normaltextrun"/>
          <w:rFonts w:ascii="Calibri" w:hAnsi="Calibri" w:cs="Calibri"/>
          <w:color w:val="000000"/>
          <w:lang w:val="es-ES"/>
        </w:rPr>
        <w:t xml:space="preserve"> </w:t>
      </w:r>
      <w:proofErr w:type="spellStart"/>
      <w:r>
        <w:rPr>
          <w:rStyle w:val="normaltextrun"/>
          <w:rFonts w:ascii="Calibri" w:hAnsi="Calibri" w:cs="Calibri"/>
          <w:color w:val="000000"/>
          <w:lang w:val="es-ES"/>
        </w:rPr>
        <w:t>Self-Assessment</w:t>
      </w:r>
      <w:proofErr w:type="spellEnd"/>
      <w:r>
        <w:rPr>
          <w:rStyle w:val="normaltextrun"/>
          <w:rFonts w:ascii="Calibri" w:hAnsi="Calibri" w:cs="Calibri"/>
          <w:color w:val="000000"/>
          <w:lang w:val="es-ES"/>
        </w:rPr>
        <w:t xml:space="preserve">. </w:t>
      </w:r>
      <w:hyperlink r:id="rId10" w:tgtFrame="_blank" w:history="1">
        <w:r>
          <w:rPr>
            <w:rStyle w:val="normaltextrun"/>
            <w:rFonts w:ascii="Calibri" w:hAnsi="Calibri" w:cs="Calibri"/>
            <w:color w:val="0563C1"/>
            <w:u w:val="single"/>
            <w:lang w:val="es-ES"/>
          </w:rPr>
          <w:t>https://www.teaching.unsw.edu.au/self-assessment</w:t>
        </w:r>
      </w:hyperlink>
      <w:r>
        <w:rPr>
          <w:rStyle w:val="eop"/>
          <w:rFonts w:ascii="Calibri" w:hAnsi="Calibri" w:cs="Calibri"/>
          <w:color w:val="000000"/>
        </w:rPr>
        <w:t> </w:t>
      </w:r>
    </w:p>
    <w:p w14:paraId="614EA0C1" w14:textId="77777777" w:rsidR="00E70198" w:rsidRDefault="00E70198" w:rsidP="00E7019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  <w:lang w:val="es-ES"/>
        </w:rPr>
      </w:pPr>
    </w:p>
    <w:p w14:paraId="3472C762" w14:textId="207A0114" w:rsidR="00E70198" w:rsidRDefault="00E70198" w:rsidP="00E70198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000000"/>
        </w:rPr>
      </w:pPr>
      <w:r>
        <w:rPr>
          <w:rStyle w:val="normaltextrun"/>
          <w:rFonts w:ascii="Calibri" w:hAnsi="Calibri" w:cs="Calibri"/>
          <w:color w:val="000000"/>
          <w:lang w:val="es-ES"/>
        </w:rPr>
        <w:t>Para el desarrollo de esta actividad, le invitamos a que tengamos en cuenta los siguientes recursos:</w:t>
      </w:r>
      <w:r>
        <w:rPr>
          <w:rStyle w:val="eop"/>
          <w:rFonts w:ascii="Calibri" w:hAnsi="Calibri" w:cs="Calibri"/>
          <w:color w:val="000000"/>
        </w:rPr>
        <w:t> </w:t>
      </w:r>
    </w:p>
    <w:p w14:paraId="03882480" w14:textId="77777777" w:rsidR="00E70198" w:rsidRDefault="00E70198" w:rsidP="00E70198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</w:p>
    <w:p w14:paraId="3257C8D4" w14:textId="77777777" w:rsidR="00E70198" w:rsidRDefault="00E70198" w:rsidP="00E70198">
      <w:pPr>
        <w:pStyle w:val="paragraph"/>
        <w:numPr>
          <w:ilvl w:val="0"/>
          <w:numId w:val="16"/>
        </w:numPr>
        <w:spacing w:before="0" w:beforeAutospacing="0" w:after="0" w:afterAutospacing="0"/>
        <w:ind w:left="567" w:hanging="567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color w:val="000000"/>
          <w:lang w:val="es-ES"/>
        </w:rPr>
        <w:t xml:space="preserve">Rizo R. M., (2020). Rol del docente y estudiante en la educación virtual. Revista Multi – Ensayos, 6. DOI: </w:t>
      </w:r>
      <w:hyperlink r:id="rId11" w:tgtFrame="_blank" w:history="1">
        <w:r>
          <w:rPr>
            <w:rStyle w:val="normaltextrun"/>
            <w:rFonts w:ascii="Calibri" w:hAnsi="Calibri" w:cs="Calibri"/>
            <w:color w:val="0563C1"/>
            <w:u w:val="single"/>
            <w:lang w:val="es-ES"/>
          </w:rPr>
          <w:t>https://doi.org/10.5377/multiensayos.v6i12.10117</w:t>
        </w:r>
      </w:hyperlink>
      <w:r>
        <w:rPr>
          <w:rStyle w:val="normaltextrun"/>
          <w:rFonts w:ascii="Calibri" w:hAnsi="Calibri" w:cs="Calibri"/>
          <w:color w:val="000000"/>
          <w:lang w:val="es-ES"/>
        </w:rPr>
        <w:t> </w:t>
      </w:r>
      <w:r>
        <w:rPr>
          <w:rStyle w:val="eop"/>
          <w:rFonts w:ascii="Calibri" w:hAnsi="Calibri" w:cs="Calibri"/>
          <w:color w:val="000000"/>
        </w:rPr>
        <w:t> </w:t>
      </w:r>
    </w:p>
    <w:p w14:paraId="6CC038C4" w14:textId="77777777" w:rsidR="00E70198" w:rsidRDefault="00E70198" w:rsidP="00E70198">
      <w:pPr>
        <w:pStyle w:val="paragraph"/>
        <w:numPr>
          <w:ilvl w:val="0"/>
          <w:numId w:val="16"/>
        </w:numPr>
        <w:spacing w:before="0" w:beforeAutospacing="0" w:after="0" w:afterAutospacing="0"/>
        <w:ind w:left="567" w:hanging="567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color w:val="000000"/>
          <w:lang w:val="es-ES"/>
        </w:rPr>
        <w:t xml:space="preserve">¿Qué son los recursos educativos digitales y cuáles son sus ventajas? </w:t>
      </w:r>
      <w:hyperlink r:id="rId12" w:tgtFrame="_blank" w:history="1">
        <w:r>
          <w:rPr>
            <w:rStyle w:val="normaltextrun"/>
            <w:rFonts w:ascii="Calibri" w:hAnsi="Calibri" w:cs="Calibri"/>
            <w:color w:val="0563C1"/>
            <w:u w:val="single"/>
            <w:lang w:val="es-ES"/>
          </w:rPr>
          <w:t>https://colombiaaprende.edu.co/agenda/actualidad/recursos-educativos-digitales-usos-y-ventajas</w:t>
        </w:r>
      </w:hyperlink>
      <w:r>
        <w:rPr>
          <w:rStyle w:val="normaltextrun"/>
          <w:rFonts w:ascii="Calibri" w:hAnsi="Calibri" w:cs="Calibri"/>
          <w:color w:val="000000"/>
          <w:lang w:val="es-ES"/>
        </w:rPr>
        <w:t> </w:t>
      </w:r>
      <w:r>
        <w:rPr>
          <w:rStyle w:val="eop"/>
          <w:rFonts w:ascii="Calibri" w:hAnsi="Calibri" w:cs="Calibri"/>
          <w:color w:val="000000"/>
        </w:rPr>
        <w:t> </w:t>
      </w:r>
    </w:p>
    <w:p w14:paraId="254EA98C" w14:textId="77777777" w:rsidR="00E70198" w:rsidRDefault="00E70198" w:rsidP="00E70198">
      <w:pPr>
        <w:pStyle w:val="paragraph"/>
        <w:numPr>
          <w:ilvl w:val="0"/>
          <w:numId w:val="16"/>
        </w:numPr>
        <w:spacing w:before="0" w:beforeAutospacing="0" w:after="0" w:afterAutospacing="0"/>
        <w:ind w:left="567" w:hanging="567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color w:val="000000"/>
          <w:lang w:val="es-ES"/>
        </w:rPr>
        <w:t xml:space="preserve">Recursos educativos digitales </w:t>
      </w:r>
      <w:hyperlink r:id="rId13" w:tgtFrame="_blank" w:history="1">
        <w:r>
          <w:rPr>
            <w:rStyle w:val="normaltextrun"/>
            <w:rFonts w:ascii="Calibri" w:hAnsi="Calibri" w:cs="Calibri"/>
            <w:color w:val="0563C1"/>
            <w:u w:val="single"/>
            <w:lang w:val="es-ES"/>
          </w:rPr>
          <w:t>https://smileandlearn.com/mejores-recursos-educativos-digitales/</w:t>
        </w:r>
      </w:hyperlink>
      <w:r>
        <w:rPr>
          <w:rStyle w:val="eop"/>
          <w:rFonts w:ascii="Calibri" w:hAnsi="Calibri" w:cs="Calibri"/>
          <w:color w:val="000000"/>
        </w:rPr>
        <w:t> </w:t>
      </w:r>
    </w:p>
    <w:p w14:paraId="0E691101" w14:textId="77777777" w:rsidR="00C53380" w:rsidRDefault="00C53380" w:rsidP="007E5757">
      <w:pPr>
        <w:ind w:left="567" w:hanging="567"/>
        <w:jc w:val="center"/>
        <w:rPr>
          <w:b/>
          <w:bCs/>
          <w:sz w:val="56"/>
          <w:szCs w:val="56"/>
          <w:lang w:val="es-ES"/>
        </w:rPr>
      </w:pPr>
    </w:p>
    <w:sectPr w:rsidR="00C53380">
      <w:headerReference w:type="even" r:id="rId14"/>
      <w:headerReference w:type="default" r:id="rId15"/>
      <w:footerReference w:type="default" r:id="rId16"/>
      <w:headerReference w:type="first" r:id="rId1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10D640" w14:textId="77777777" w:rsidR="00766F81" w:rsidRDefault="00766F81" w:rsidP="00766F81">
      <w:pPr>
        <w:spacing w:after="0" w:line="240" w:lineRule="auto"/>
      </w:pPr>
      <w:r>
        <w:separator/>
      </w:r>
    </w:p>
  </w:endnote>
  <w:endnote w:type="continuationSeparator" w:id="0">
    <w:p w14:paraId="7DF4A098" w14:textId="77777777" w:rsidR="00766F81" w:rsidRDefault="00766F81" w:rsidP="00766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7B3EB" w14:textId="0878C8F9" w:rsidR="00766F81" w:rsidRDefault="00766F81" w:rsidP="00766F81">
    <w:pPr>
      <w:pStyle w:val="Piedepgina"/>
      <w:jc w:val="right"/>
    </w:pPr>
    <w:r>
      <w:rPr>
        <w:noProof/>
      </w:rPr>
      <w:drawing>
        <wp:inline distT="0" distB="0" distL="0" distR="0" wp14:anchorId="1CC29DB3" wp14:editId="29B13FBF">
          <wp:extent cx="1422400" cy="448221"/>
          <wp:effectExtent l="0" t="0" r="6350" b="9525"/>
          <wp:docPr id="3" name="Imagen 3" descr="Interfaz de usuario gráfic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Interfaz de usuario gráfica&#10;&#10;Descripción generada automáticamente con confianza me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9013" cy="4566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24036" w14:textId="77777777" w:rsidR="00766F81" w:rsidRDefault="00766F81" w:rsidP="00766F81">
      <w:pPr>
        <w:spacing w:after="0" w:line="240" w:lineRule="auto"/>
      </w:pPr>
      <w:r>
        <w:separator/>
      </w:r>
    </w:p>
  </w:footnote>
  <w:footnote w:type="continuationSeparator" w:id="0">
    <w:p w14:paraId="557EB585" w14:textId="77777777" w:rsidR="00766F81" w:rsidRDefault="00766F81" w:rsidP="00766F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0CD4E" w14:textId="256E2803" w:rsidR="00766F81" w:rsidRDefault="00E70198">
    <w:pPr>
      <w:pStyle w:val="Encabezado"/>
    </w:pPr>
    <w:r>
      <w:rPr>
        <w:noProof/>
      </w:rPr>
      <w:pict w14:anchorId="0E01D05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0;margin-top:0;width:441.7pt;height:502.05pt;z-index:-251657216;mso-position-horizontal:center;mso-position-horizontal-relative:margin;mso-position-vertical:center;mso-position-vertical-relative:margin" o:allowincell="f">
          <v:imagedata r:id="rId1" o:title="Identidad_PNG_L-0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E80DE" w14:textId="0D7752C5" w:rsidR="00766F81" w:rsidRDefault="00E70198">
    <w:pPr>
      <w:pStyle w:val="Encabezado"/>
    </w:pPr>
    <w:r>
      <w:rPr>
        <w:noProof/>
      </w:rPr>
      <w:pict w14:anchorId="6E6B1D9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0;margin-top:0;width:269.9pt;height:306.75pt;z-index:-251656192;mso-position-horizontal:center;mso-position-horizontal-relative:margin;mso-position-vertical:center;mso-position-vertical-relative:margin" o:allowincell="f">
          <v:imagedata r:id="rId1" o:title="Identidad_PNG_L-01" gain="19661f" blacklevel="22938f"/>
          <w10:wrap anchorx="margin" anchory="margin"/>
        </v:shape>
      </w:pict>
    </w:r>
    <w:r w:rsidR="00766F81">
      <w:rPr>
        <w:noProof/>
      </w:rPr>
      <w:drawing>
        <wp:inline distT="0" distB="0" distL="0" distR="0" wp14:anchorId="35AF01FE" wp14:editId="269DD6D3">
          <wp:extent cx="1924050" cy="647446"/>
          <wp:effectExtent l="0" t="0" r="0" b="635"/>
          <wp:docPr id="2" name="Imagen 2" descr="Dibujo en blanco y negr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Dibujo en blanco y negro&#10;&#10;Descripción generada automáticamente con confianza baja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6509" cy="6583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C669E" w14:textId="25BA88F5" w:rsidR="00766F81" w:rsidRDefault="00E70198">
    <w:pPr>
      <w:pStyle w:val="Encabezado"/>
    </w:pPr>
    <w:r>
      <w:rPr>
        <w:noProof/>
      </w:rPr>
      <w:pict w14:anchorId="0024F8E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49" type="#_x0000_t75" style="position:absolute;margin-left:0;margin-top:0;width:441.7pt;height:502.05pt;z-index:-251658240;mso-position-horizontal:center;mso-position-horizontal-relative:margin;mso-position-vertical:center;mso-position-vertical-relative:margin" o:allowincell="f">
          <v:imagedata r:id="rId1" o:title="Identidad_PNG_L-0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224B0"/>
    <w:multiLevelType w:val="multilevel"/>
    <w:tmpl w:val="7BDC4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57D1944"/>
    <w:multiLevelType w:val="hybridMultilevel"/>
    <w:tmpl w:val="EAF088D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12727C"/>
    <w:multiLevelType w:val="hybridMultilevel"/>
    <w:tmpl w:val="86F04F98"/>
    <w:lvl w:ilvl="0" w:tplc="2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1893BDE"/>
    <w:multiLevelType w:val="multilevel"/>
    <w:tmpl w:val="DC96F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3AC2D30"/>
    <w:multiLevelType w:val="multilevel"/>
    <w:tmpl w:val="730C0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5130A43"/>
    <w:multiLevelType w:val="hybridMultilevel"/>
    <w:tmpl w:val="D8389720"/>
    <w:lvl w:ilvl="0" w:tplc="2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72D23EF"/>
    <w:multiLevelType w:val="multilevel"/>
    <w:tmpl w:val="65303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E5362DE"/>
    <w:multiLevelType w:val="multilevel"/>
    <w:tmpl w:val="3C1A4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F711BD7"/>
    <w:multiLevelType w:val="hybridMultilevel"/>
    <w:tmpl w:val="6D140124"/>
    <w:lvl w:ilvl="0" w:tplc="240A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9" w15:restartNumberingAfterBreak="0">
    <w:nsid w:val="47486B36"/>
    <w:multiLevelType w:val="multilevel"/>
    <w:tmpl w:val="981C1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0092966"/>
    <w:multiLevelType w:val="multilevel"/>
    <w:tmpl w:val="AB568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26B119E"/>
    <w:multiLevelType w:val="hybridMultilevel"/>
    <w:tmpl w:val="0F6263F8"/>
    <w:lvl w:ilvl="0" w:tplc="240A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12" w15:restartNumberingAfterBreak="0">
    <w:nsid w:val="62826560"/>
    <w:multiLevelType w:val="hybridMultilevel"/>
    <w:tmpl w:val="DBE68560"/>
    <w:lvl w:ilvl="0" w:tplc="240A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13" w15:restartNumberingAfterBreak="0">
    <w:nsid w:val="65CB6C73"/>
    <w:multiLevelType w:val="multilevel"/>
    <w:tmpl w:val="A7D89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72301C8"/>
    <w:multiLevelType w:val="multilevel"/>
    <w:tmpl w:val="04EC1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99966E8"/>
    <w:multiLevelType w:val="hybridMultilevel"/>
    <w:tmpl w:val="606693CA"/>
    <w:lvl w:ilvl="0" w:tplc="2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327756230">
    <w:abstractNumId w:val="3"/>
  </w:num>
  <w:num w:numId="2" w16cid:durableId="988678482">
    <w:abstractNumId w:val="6"/>
  </w:num>
  <w:num w:numId="3" w16cid:durableId="1096291254">
    <w:abstractNumId w:val="4"/>
  </w:num>
  <w:num w:numId="4" w16cid:durableId="1653749752">
    <w:abstractNumId w:val="12"/>
  </w:num>
  <w:num w:numId="5" w16cid:durableId="825050088">
    <w:abstractNumId w:val="11"/>
  </w:num>
  <w:num w:numId="6" w16cid:durableId="2013800622">
    <w:abstractNumId w:val="7"/>
  </w:num>
  <w:num w:numId="7" w16cid:durableId="1515417013">
    <w:abstractNumId w:val="10"/>
  </w:num>
  <w:num w:numId="8" w16cid:durableId="250741772">
    <w:abstractNumId w:val="13"/>
  </w:num>
  <w:num w:numId="9" w16cid:durableId="1738354345">
    <w:abstractNumId w:val="8"/>
  </w:num>
  <w:num w:numId="10" w16cid:durableId="1300769027">
    <w:abstractNumId w:val="1"/>
  </w:num>
  <w:num w:numId="11" w16cid:durableId="1413504526">
    <w:abstractNumId w:val="0"/>
  </w:num>
  <w:num w:numId="12" w16cid:durableId="287976831">
    <w:abstractNumId w:val="14"/>
  </w:num>
  <w:num w:numId="13" w16cid:durableId="556163562">
    <w:abstractNumId w:val="9"/>
  </w:num>
  <w:num w:numId="14" w16cid:durableId="1783453525">
    <w:abstractNumId w:val="5"/>
  </w:num>
  <w:num w:numId="15" w16cid:durableId="55276672">
    <w:abstractNumId w:val="2"/>
  </w:num>
  <w:num w:numId="16" w16cid:durableId="26577545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F81"/>
    <w:rsid w:val="00172D47"/>
    <w:rsid w:val="00533B45"/>
    <w:rsid w:val="00766F81"/>
    <w:rsid w:val="007E5757"/>
    <w:rsid w:val="00886A20"/>
    <w:rsid w:val="00B35828"/>
    <w:rsid w:val="00C53380"/>
    <w:rsid w:val="00D213A3"/>
    <w:rsid w:val="00D50C37"/>
    <w:rsid w:val="00D526E3"/>
    <w:rsid w:val="00E70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326C602"/>
  <w15:chartTrackingRefBased/>
  <w15:docId w15:val="{BAA0366D-AE90-4B3D-AFD5-371528EB9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66F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66F81"/>
  </w:style>
  <w:style w:type="paragraph" w:styleId="Piedepgina">
    <w:name w:val="footer"/>
    <w:basedOn w:val="Normal"/>
    <w:link w:val="PiedepginaCar"/>
    <w:uiPriority w:val="99"/>
    <w:unhideWhenUsed/>
    <w:rsid w:val="00766F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66F81"/>
  </w:style>
  <w:style w:type="paragraph" w:customStyle="1" w:styleId="paragraph">
    <w:name w:val="paragraph"/>
    <w:basedOn w:val="Normal"/>
    <w:rsid w:val="00533B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normaltextrun">
    <w:name w:val="normaltextrun"/>
    <w:basedOn w:val="Fuentedeprrafopredeter"/>
    <w:rsid w:val="00533B45"/>
  </w:style>
  <w:style w:type="character" w:customStyle="1" w:styleId="eop">
    <w:name w:val="eop"/>
    <w:basedOn w:val="Fuentedeprrafopredeter"/>
    <w:rsid w:val="00533B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9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05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8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0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2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87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42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9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2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2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3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0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5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7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4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31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rec.mx/ispring/2016/07/19/cuatro-taxonomias-educativas-crear-e-learning/" TargetMode="External"/><Relationship Id="rId13" Type="http://schemas.openxmlformats.org/officeDocument/2006/relationships/hyperlink" Target="https://smileandlearn.com/mejores-recursos-educativos-digitales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redalyc.org/journal/4766/476661510011/html/" TargetMode="External"/><Relationship Id="rId12" Type="http://schemas.openxmlformats.org/officeDocument/2006/relationships/hyperlink" Target="https://colombiaaprende.edu.co/agenda/actualidad/recursos-educativos-digitales-usos-y-ventajas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i.org/10.5377/multiensayos.v6i12.10117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s://www.teaching.unsw.edu.au/self-assessment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retos-directivos.eae.es/te-animas-a-hacer-una-autoevaluacion-personal/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281</Words>
  <Characters>1549</Characters>
  <Application>Microsoft Office Word</Application>
  <DocSecurity>0</DocSecurity>
  <Lines>12</Lines>
  <Paragraphs>3</Paragraphs>
  <ScaleCrop>false</ScaleCrop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DEIBY STIWENS BERNAL ROJAS</dc:creator>
  <cp:keywords/>
  <dc:description/>
  <cp:lastModifiedBy>DEIBY STIWENS BERNAL ROJAS</cp:lastModifiedBy>
  <cp:revision>3</cp:revision>
  <dcterms:created xsi:type="dcterms:W3CDTF">2023-02-24T17:42:00Z</dcterms:created>
  <dcterms:modified xsi:type="dcterms:W3CDTF">2023-02-24T17:43:00Z</dcterms:modified>
</cp:coreProperties>
</file>